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8" w:type="dxa"/>
        <w:tblInd w:w="-365" w:type="dxa"/>
        <w:tblLook w:val="04A0" w:firstRow="1" w:lastRow="0" w:firstColumn="1" w:lastColumn="0" w:noHBand="0" w:noVBand="1"/>
      </w:tblPr>
      <w:tblGrid>
        <w:gridCol w:w="2340"/>
        <w:gridCol w:w="3870"/>
        <w:gridCol w:w="3798"/>
      </w:tblGrid>
      <w:tr w:rsidR="00AC1F3B" w:rsidRPr="008A0311" w:rsidTr="00E73472">
        <w:trPr>
          <w:trHeight w:val="1340"/>
        </w:trPr>
        <w:tc>
          <w:tcPr>
            <w:tcW w:w="10008" w:type="dxa"/>
            <w:gridSpan w:val="3"/>
            <w:tcBorders>
              <w:top w:val="single" w:sz="4" w:space="0" w:color="auto"/>
              <w:left w:val="single" w:sz="4" w:space="0" w:color="auto"/>
              <w:bottom w:val="single" w:sz="4" w:space="0" w:color="auto"/>
              <w:right w:val="single" w:sz="4" w:space="0" w:color="auto"/>
            </w:tcBorders>
            <w:shd w:val="clear" w:color="auto" w:fill="auto"/>
          </w:tcPr>
          <w:p w:rsidR="00B014FF" w:rsidRPr="00B014FF" w:rsidRDefault="00B014FF" w:rsidP="00AC1F3B">
            <w:pPr>
              <w:spacing w:after="0" w:line="240" w:lineRule="auto"/>
              <w:rPr>
                <w:rFonts w:eastAsia="Times New Roman" w:cs="Calibri"/>
                <w:b/>
                <w:color w:val="000000"/>
                <w:sz w:val="20"/>
                <w:szCs w:val="20"/>
              </w:rPr>
            </w:pPr>
            <w:r w:rsidRPr="00B014FF">
              <w:rPr>
                <w:rFonts w:eastAsia="Times New Roman" w:cs="Calibri"/>
                <w:b/>
                <w:color w:val="000000"/>
                <w:sz w:val="20"/>
                <w:szCs w:val="20"/>
              </w:rPr>
              <w:t>System Enhancements Overview:</w:t>
            </w:r>
          </w:p>
          <w:p w:rsidR="00B014FF" w:rsidRPr="00AC1F3B" w:rsidRDefault="00B014FF" w:rsidP="00AC1F3B">
            <w:pPr>
              <w:spacing w:after="0" w:line="240" w:lineRule="auto"/>
              <w:rPr>
                <w:rFonts w:eastAsia="Times New Roman" w:cs="Calibri"/>
                <w:color w:val="000000"/>
                <w:sz w:val="20"/>
                <w:szCs w:val="20"/>
              </w:rPr>
            </w:pPr>
            <w:r w:rsidRPr="00AC1F3B">
              <w:rPr>
                <w:rFonts w:eastAsia="Times New Roman" w:cs="Calibri"/>
                <w:color w:val="000000"/>
                <w:sz w:val="20"/>
                <w:szCs w:val="20"/>
              </w:rPr>
              <w:t>•Revised Transactions Menu options.</w:t>
            </w:r>
          </w:p>
          <w:p w:rsidR="00AC1F3B" w:rsidRPr="00AC1F3B" w:rsidRDefault="00AC1F3B" w:rsidP="00AC1F3B">
            <w:pPr>
              <w:spacing w:after="0" w:line="240" w:lineRule="auto"/>
              <w:rPr>
                <w:rFonts w:eastAsia="Times New Roman" w:cs="Calibri"/>
                <w:color w:val="000000"/>
                <w:sz w:val="20"/>
                <w:szCs w:val="20"/>
              </w:rPr>
            </w:pPr>
            <w:r w:rsidRPr="00AC1F3B">
              <w:rPr>
                <w:rFonts w:eastAsia="Times New Roman" w:cs="Calibri"/>
                <w:color w:val="000000"/>
                <w:sz w:val="20"/>
                <w:szCs w:val="20"/>
              </w:rPr>
              <w:t>•Ability to add/view comments during transactions.</w:t>
            </w:r>
          </w:p>
          <w:p w:rsidR="00AC1F3B" w:rsidRPr="00AC1F3B" w:rsidRDefault="00AC1F3B" w:rsidP="00AC1F3B">
            <w:pPr>
              <w:spacing w:after="0" w:line="240" w:lineRule="auto"/>
              <w:rPr>
                <w:rFonts w:eastAsia="Times New Roman" w:cs="Calibri"/>
                <w:color w:val="000000"/>
                <w:sz w:val="20"/>
                <w:szCs w:val="20"/>
              </w:rPr>
            </w:pPr>
            <w:r w:rsidRPr="00AC1F3B">
              <w:rPr>
                <w:rFonts w:eastAsia="Times New Roman" w:cs="Calibri"/>
                <w:color w:val="000000"/>
                <w:sz w:val="20"/>
                <w:szCs w:val="20"/>
              </w:rPr>
              <w:t>•Ability to view In-Process transactions and delete a</w:t>
            </w:r>
            <w:r>
              <w:rPr>
                <w:rFonts w:eastAsia="Times New Roman" w:cs="Calibri"/>
                <w:color w:val="000000"/>
                <w:sz w:val="20"/>
                <w:szCs w:val="20"/>
              </w:rPr>
              <w:t xml:space="preserve"> </w:t>
            </w:r>
            <w:r w:rsidRPr="00AC1F3B">
              <w:rPr>
                <w:rFonts w:eastAsia="Times New Roman" w:cs="Calibri"/>
                <w:color w:val="000000"/>
                <w:sz w:val="20"/>
                <w:szCs w:val="20"/>
              </w:rPr>
              <w:t>transaction.</w:t>
            </w:r>
          </w:p>
          <w:p w:rsidR="00AC1F3B" w:rsidRPr="00AC1F3B" w:rsidRDefault="00AC1F3B" w:rsidP="00AC1F3B">
            <w:pPr>
              <w:spacing w:after="0" w:line="240" w:lineRule="auto"/>
              <w:rPr>
                <w:rFonts w:eastAsia="Times New Roman" w:cs="Calibri"/>
                <w:color w:val="000000"/>
                <w:sz w:val="20"/>
                <w:szCs w:val="20"/>
              </w:rPr>
            </w:pPr>
            <w:r w:rsidRPr="00AC1F3B">
              <w:rPr>
                <w:rFonts w:eastAsia="Times New Roman" w:cs="Calibri"/>
                <w:color w:val="000000"/>
                <w:sz w:val="20"/>
                <w:szCs w:val="20"/>
              </w:rPr>
              <w:t>•Removing a vehicle from a transaction is allowed if the</w:t>
            </w:r>
            <w:r>
              <w:rPr>
                <w:rFonts w:eastAsia="Times New Roman" w:cs="Calibri"/>
                <w:color w:val="000000"/>
                <w:sz w:val="20"/>
                <w:szCs w:val="20"/>
              </w:rPr>
              <w:t xml:space="preserve"> </w:t>
            </w:r>
            <w:r w:rsidRPr="00AC1F3B">
              <w:rPr>
                <w:rFonts w:eastAsia="Times New Roman" w:cs="Calibri"/>
                <w:color w:val="000000"/>
                <w:sz w:val="20"/>
                <w:szCs w:val="20"/>
              </w:rPr>
              <w:t>vehicle is not involved in any other future In-Process transactions.</w:t>
            </w:r>
            <w:bookmarkStart w:id="0" w:name="_GoBack"/>
            <w:bookmarkEnd w:id="0"/>
          </w:p>
          <w:p w:rsidR="00AC1F3B" w:rsidRPr="00AC1F3B" w:rsidRDefault="00AC1F3B" w:rsidP="00AC1F3B">
            <w:pPr>
              <w:spacing w:after="0" w:line="240" w:lineRule="auto"/>
              <w:rPr>
                <w:rFonts w:eastAsia="Times New Roman" w:cs="Calibri"/>
                <w:color w:val="000000"/>
                <w:sz w:val="20"/>
                <w:szCs w:val="20"/>
              </w:rPr>
            </w:pPr>
            <w:r w:rsidRPr="00AC1F3B">
              <w:rPr>
                <w:rFonts w:eastAsia="Times New Roman" w:cs="Calibri"/>
                <w:color w:val="000000"/>
                <w:sz w:val="20"/>
                <w:szCs w:val="20"/>
              </w:rPr>
              <w:t>•New upload template for transactions. Fleets with 100 or more vehicles are qualified for uploads.</w:t>
            </w:r>
          </w:p>
          <w:p w:rsidR="00AC1F3B" w:rsidRPr="00AC1F3B" w:rsidRDefault="00AC1F3B" w:rsidP="00AC1F3B">
            <w:pPr>
              <w:spacing w:after="0" w:line="240" w:lineRule="auto"/>
              <w:rPr>
                <w:rFonts w:eastAsia="Times New Roman" w:cs="Calibri"/>
                <w:color w:val="000000"/>
                <w:sz w:val="20"/>
                <w:szCs w:val="20"/>
              </w:rPr>
            </w:pPr>
            <w:r w:rsidRPr="00AC1F3B">
              <w:rPr>
                <w:rFonts w:eastAsia="Times New Roman" w:cs="Calibri"/>
                <w:color w:val="000000"/>
                <w:sz w:val="20"/>
                <w:szCs w:val="20"/>
              </w:rPr>
              <w:t>•New templates for uploads can be downloaded on the upload page for the selected transaction.</w:t>
            </w:r>
          </w:p>
          <w:p w:rsidR="00AC1F3B" w:rsidRDefault="00AC1F3B" w:rsidP="00AC1F3B">
            <w:pPr>
              <w:spacing w:after="0" w:line="240" w:lineRule="auto"/>
              <w:rPr>
                <w:rFonts w:eastAsia="Times New Roman" w:cs="Calibri"/>
                <w:color w:val="000000"/>
                <w:sz w:val="20"/>
                <w:szCs w:val="20"/>
              </w:rPr>
            </w:pPr>
            <w:r w:rsidRPr="00AC1F3B">
              <w:rPr>
                <w:rFonts w:eastAsia="Times New Roman" w:cs="Calibri"/>
                <w:color w:val="000000"/>
                <w:sz w:val="20"/>
                <w:szCs w:val="20"/>
              </w:rPr>
              <w:t>•Ability to copy qualified transactions to future</w:t>
            </w:r>
            <w:r>
              <w:rPr>
                <w:rFonts w:eastAsia="Times New Roman" w:cs="Calibri"/>
                <w:color w:val="000000"/>
                <w:sz w:val="20"/>
                <w:szCs w:val="20"/>
              </w:rPr>
              <w:t xml:space="preserve"> </w:t>
            </w:r>
            <w:r w:rsidRPr="00AC1F3B">
              <w:rPr>
                <w:rFonts w:eastAsia="Times New Roman" w:cs="Calibri"/>
                <w:color w:val="000000"/>
                <w:sz w:val="20"/>
                <w:szCs w:val="20"/>
              </w:rPr>
              <w:t>registration year if renewal is paid.</w:t>
            </w:r>
          </w:p>
        </w:tc>
      </w:tr>
      <w:tr w:rsidR="00AC1F3B" w:rsidRPr="008A0311" w:rsidTr="00AC1F3B">
        <w:trPr>
          <w:trHeight w:val="431"/>
        </w:trPr>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AC1F3B" w:rsidRPr="008A0311" w:rsidRDefault="00AC1F3B" w:rsidP="00AC1F3B">
            <w:pPr>
              <w:spacing w:after="0" w:line="240" w:lineRule="auto"/>
              <w:rPr>
                <w:rFonts w:ascii="Times New Roman" w:eastAsia="Times New Roman" w:hAnsi="Times New Roman"/>
                <w:sz w:val="20"/>
                <w:szCs w:val="20"/>
              </w:rPr>
            </w:pPr>
          </w:p>
        </w:tc>
        <w:tc>
          <w:tcPr>
            <w:tcW w:w="3870" w:type="dxa"/>
            <w:tcBorders>
              <w:top w:val="single" w:sz="4" w:space="0" w:color="auto"/>
              <w:left w:val="nil"/>
              <w:bottom w:val="single" w:sz="4" w:space="0" w:color="auto"/>
              <w:right w:val="single" w:sz="4" w:space="0" w:color="auto"/>
            </w:tcBorders>
            <w:shd w:val="clear" w:color="auto" w:fill="auto"/>
            <w:vAlign w:val="bottom"/>
          </w:tcPr>
          <w:p w:rsidR="00AC1F3B" w:rsidRPr="008A0311" w:rsidRDefault="00AC1F3B" w:rsidP="00AC1F3B">
            <w:pPr>
              <w:spacing w:after="0" w:line="240" w:lineRule="auto"/>
              <w:jc w:val="center"/>
              <w:rPr>
                <w:rFonts w:eastAsia="Times New Roman" w:cs="Calibri"/>
                <w:b/>
                <w:bCs/>
                <w:color w:val="000000"/>
                <w:sz w:val="20"/>
                <w:szCs w:val="20"/>
                <w:u w:val="single"/>
              </w:rPr>
            </w:pPr>
            <w:r w:rsidRPr="008A0311">
              <w:rPr>
                <w:rFonts w:eastAsia="Times New Roman" w:cs="Calibri"/>
                <w:b/>
                <w:bCs/>
                <w:color w:val="000000"/>
                <w:sz w:val="20"/>
                <w:szCs w:val="20"/>
                <w:u w:val="single"/>
              </w:rPr>
              <w:t>Current Process</w:t>
            </w:r>
          </w:p>
        </w:tc>
        <w:tc>
          <w:tcPr>
            <w:tcW w:w="3798" w:type="dxa"/>
            <w:tcBorders>
              <w:top w:val="single" w:sz="4" w:space="0" w:color="auto"/>
              <w:left w:val="nil"/>
              <w:bottom w:val="single" w:sz="4" w:space="0" w:color="auto"/>
              <w:right w:val="single" w:sz="4" w:space="0" w:color="auto"/>
            </w:tcBorders>
            <w:shd w:val="clear" w:color="auto" w:fill="auto"/>
            <w:vAlign w:val="bottom"/>
          </w:tcPr>
          <w:p w:rsidR="00AC1F3B" w:rsidRPr="001A1A22" w:rsidRDefault="00AC1F3B" w:rsidP="00AC1F3B">
            <w:pPr>
              <w:spacing w:after="0" w:line="240" w:lineRule="auto"/>
              <w:jc w:val="center"/>
              <w:rPr>
                <w:rFonts w:eastAsia="Times New Roman" w:cs="Calibri"/>
                <w:b/>
                <w:bCs/>
                <w:color w:val="000000"/>
                <w:sz w:val="20"/>
                <w:szCs w:val="20"/>
                <w:u w:val="single"/>
              </w:rPr>
            </w:pPr>
            <w:r w:rsidRPr="001A1A22">
              <w:rPr>
                <w:rFonts w:eastAsia="Times New Roman" w:cs="Calibri"/>
                <w:b/>
                <w:bCs/>
                <w:color w:val="000000"/>
                <w:sz w:val="20"/>
                <w:szCs w:val="20"/>
                <w:u w:val="single"/>
              </w:rPr>
              <w:t xml:space="preserve">Revised Process </w:t>
            </w:r>
            <w:r w:rsidRPr="00602767">
              <w:rPr>
                <w:b/>
                <w:color w:val="FF0000"/>
                <w:sz w:val="20"/>
                <w:szCs w:val="20"/>
                <w:u w:val="single"/>
              </w:rPr>
              <w:t>June 14, 2020</w:t>
            </w:r>
          </w:p>
        </w:tc>
      </w:tr>
      <w:tr w:rsidR="008A0311" w:rsidRPr="008A0311" w:rsidTr="00AC1F3B">
        <w:trPr>
          <w:trHeight w:val="1340"/>
        </w:trPr>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8A0311" w:rsidRPr="008A0311" w:rsidRDefault="008A0311" w:rsidP="008A0311">
            <w:pPr>
              <w:spacing w:after="0" w:line="240" w:lineRule="auto"/>
              <w:rPr>
                <w:rFonts w:eastAsia="Times New Roman" w:cs="Calibri"/>
                <w:color w:val="000000"/>
              </w:rPr>
            </w:pPr>
            <w:bookmarkStart w:id="1" w:name="RANGE!C3:E6"/>
            <w:r w:rsidRPr="008A0311">
              <w:rPr>
                <w:rFonts w:eastAsia="Times New Roman" w:cs="Calibri"/>
                <w:color w:val="000000"/>
              </w:rPr>
              <w:t>1.Transaction uploads</w:t>
            </w:r>
            <w:bookmarkEnd w:id="1"/>
            <w:r w:rsidR="00A34BEC">
              <w:rPr>
                <w:rFonts w:eastAsia="Times New Roman" w:cs="Calibri"/>
                <w:color w:val="000000"/>
              </w:rPr>
              <w:t xml:space="preserve"> </w:t>
            </w:r>
          </w:p>
        </w:tc>
        <w:tc>
          <w:tcPr>
            <w:tcW w:w="3870" w:type="dxa"/>
            <w:tcBorders>
              <w:top w:val="single" w:sz="4" w:space="0" w:color="auto"/>
              <w:left w:val="nil"/>
              <w:bottom w:val="single" w:sz="4" w:space="0" w:color="auto"/>
              <w:right w:val="single" w:sz="4" w:space="0" w:color="auto"/>
            </w:tcBorders>
            <w:shd w:val="clear" w:color="auto" w:fill="auto"/>
            <w:hideMark/>
          </w:tcPr>
          <w:p w:rsidR="008A0311" w:rsidRPr="008A0311" w:rsidRDefault="00A34BEC" w:rsidP="00B275A4">
            <w:pPr>
              <w:spacing w:after="0" w:line="240" w:lineRule="auto"/>
              <w:rPr>
                <w:rFonts w:eastAsia="Times New Roman" w:cs="Calibri"/>
                <w:color w:val="000000"/>
                <w:sz w:val="20"/>
                <w:szCs w:val="20"/>
              </w:rPr>
            </w:pPr>
            <w:r>
              <w:rPr>
                <w:rFonts w:eastAsia="Times New Roman" w:cs="Calibri"/>
                <w:color w:val="000000"/>
                <w:sz w:val="20"/>
                <w:szCs w:val="20"/>
              </w:rPr>
              <w:t>Qualified Carriers</w:t>
            </w:r>
            <w:r w:rsidR="008A0311" w:rsidRPr="008A0311">
              <w:rPr>
                <w:rFonts w:eastAsia="Times New Roman" w:cs="Calibri"/>
                <w:color w:val="000000"/>
                <w:sz w:val="20"/>
                <w:szCs w:val="20"/>
              </w:rPr>
              <w:t xml:space="preserve"> ha</w:t>
            </w:r>
            <w:r>
              <w:rPr>
                <w:rFonts w:eastAsia="Times New Roman" w:cs="Calibri"/>
                <w:color w:val="000000"/>
                <w:sz w:val="20"/>
                <w:szCs w:val="20"/>
              </w:rPr>
              <w:t xml:space="preserve">ve the option of processing select </w:t>
            </w:r>
            <w:r w:rsidR="008A0311" w:rsidRPr="008A0311">
              <w:rPr>
                <w:rFonts w:eastAsia="Times New Roman" w:cs="Calibri"/>
                <w:color w:val="000000"/>
                <w:sz w:val="20"/>
                <w:szCs w:val="20"/>
              </w:rPr>
              <w:t>transa</w:t>
            </w:r>
            <w:r w:rsidR="008A0311">
              <w:rPr>
                <w:rFonts w:eastAsia="Times New Roman" w:cs="Calibri"/>
                <w:color w:val="000000"/>
                <w:sz w:val="20"/>
                <w:szCs w:val="20"/>
              </w:rPr>
              <w:t>c</w:t>
            </w:r>
            <w:r>
              <w:rPr>
                <w:rFonts w:eastAsia="Times New Roman" w:cs="Calibri"/>
                <w:color w:val="000000"/>
                <w:sz w:val="20"/>
                <w:szCs w:val="20"/>
              </w:rPr>
              <w:t>tions</w:t>
            </w:r>
            <w:r w:rsidR="008A0311" w:rsidRPr="008A0311">
              <w:rPr>
                <w:rFonts w:eastAsia="Times New Roman" w:cs="Calibri"/>
                <w:color w:val="000000"/>
                <w:sz w:val="20"/>
                <w:szCs w:val="20"/>
              </w:rPr>
              <w:t xml:space="preserve"> by using MCS </w:t>
            </w:r>
            <w:r>
              <w:rPr>
                <w:rFonts w:eastAsia="Times New Roman" w:cs="Calibri"/>
                <w:color w:val="000000"/>
                <w:sz w:val="20"/>
                <w:szCs w:val="20"/>
              </w:rPr>
              <w:t>provided Excel upload template</w:t>
            </w:r>
            <w:r w:rsidR="00B275A4">
              <w:rPr>
                <w:rFonts w:eastAsia="Times New Roman" w:cs="Calibri"/>
                <w:color w:val="000000"/>
                <w:sz w:val="20"/>
                <w:szCs w:val="20"/>
              </w:rPr>
              <w:t>s</w:t>
            </w:r>
            <w:r>
              <w:rPr>
                <w:rFonts w:eastAsia="Times New Roman" w:cs="Calibri"/>
                <w:color w:val="000000"/>
                <w:sz w:val="20"/>
                <w:szCs w:val="20"/>
              </w:rPr>
              <w:t>.</w:t>
            </w:r>
          </w:p>
        </w:tc>
        <w:tc>
          <w:tcPr>
            <w:tcW w:w="3798" w:type="dxa"/>
            <w:tcBorders>
              <w:top w:val="single" w:sz="4" w:space="0" w:color="auto"/>
              <w:left w:val="nil"/>
              <w:bottom w:val="single" w:sz="4" w:space="0" w:color="auto"/>
              <w:right w:val="single" w:sz="4" w:space="0" w:color="auto"/>
            </w:tcBorders>
            <w:shd w:val="clear" w:color="auto" w:fill="auto"/>
            <w:hideMark/>
          </w:tcPr>
          <w:p w:rsidR="008A0311" w:rsidRPr="008A0311" w:rsidRDefault="00004347" w:rsidP="008A0311">
            <w:pPr>
              <w:spacing w:after="0" w:line="240" w:lineRule="auto"/>
              <w:rPr>
                <w:rFonts w:eastAsia="Times New Roman" w:cs="Calibri"/>
                <w:color w:val="000000"/>
                <w:sz w:val="20"/>
                <w:szCs w:val="20"/>
              </w:rPr>
            </w:pPr>
            <w:r>
              <w:rPr>
                <w:rFonts w:eastAsia="Times New Roman" w:cs="Calibri"/>
                <w:color w:val="000000"/>
                <w:sz w:val="20"/>
                <w:szCs w:val="20"/>
              </w:rPr>
              <w:t xml:space="preserve">All </w:t>
            </w:r>
            <w:r w:rsidR="00B85AA4">
              <w:rPr>
                <w:rFonts w:eastAsia="Times New Roman" w:cs="Calibri"/>
                <w:color w:val="000000"/>
                <w:sz w:val="20"/>
                <w:szCs w:val="20"/>
              </w:rPr>
              <w:t xml:space="preserve">upload templates are changing – </w:t>
            </w:r>
            <w:r w:rsidR="00B85AA4" w:rsidRPr="00602767">
              <w:rPr>
                <w:rFonts w:eastAsia="Times New Roman" w:cs="Calibri"/>
                <w:b/>
                <w:color w:val="000000"/>
                <w:sz w:val="20"/>
                <w:szCs w:val="20"/>
              </w:rPr>
              <w:t>the current version of templates cannot be used after the close of business June 12, 2020</w:t>
            </w:r>
            <w:r w:rsidR="00B275A4">
              <w:rPr>
                <w:rFonts w:eastAsia="Times New Roman" w:cs="Calibri"/>
                <w:color w:val="000000"/>
                <w:sz w:val="20"/>
                <w:szCs w:val="20"/>
              </w:rPr>
              <w:t>. Revised templates available on the IRP/BPR Home Page and on line when processing transactions.</w:t>
            </w:r>
          </w:p>
        </w:tc>
      </w:tr>
      <w:tr w:rsidR="008A0311" w:rsidRPr="008A0311" w:rsidTr="00AC1F3B">
        <w:trPr>
          <w:trHeight w:val="3312"/>
        </w:trPr>
        <w:tc>
          <w:tcPr>
            <w:tcW w:w="2340" w:type="dxa"/>
            <w:tcBorders>
              <w:top w:val="nil"/>
              <w:left w:val="single" w:sz="4" w:space="0" w:color="auto"/>
              <w:bottom w:val="single" w:sz="4" w:space="0" w:color="auto"/>
              <w:right w:val="single" w:sz="4" w:space="0" w:color="auto"/>
            </w:tcBorders>
            <w:shd w:val="clear" w:color="auto" w:fill="auto"/>
            <w:noWrap/>
            <w:hideMark/>
          </w:tcPr>
          <w:p w:rsidR="008A0311" w:rsidRPr="008A0311" w:rsidRDefault="00D340E1" w:rsidP="008A0311">
            <w:pPr>
              <w:spacing w:after="0" w:line="240" w:lineRule="auto"/>
              <w:rPr>
                <w:rFonts w:eastAsia="Times New Roman" w:cs="Calibri"/>
                <w:color w:val="000000"/>
              </w:rPr>
            </w:pPr>
            <w:r>
              <w:rPr>
                <w:rFonts w:eastAsia="Times New Roman" w:cs="Calibri"/>
                <w:color w:val="000000"/>
              </w:rPr>
              <w:t>2. O</w:t>
            </w:r>
            <w:r w:rsidR="00B85AA4">
              <w:rPr>
                <w:rFonts w:eastAsia="Times New Roman" w:cs="Calibri"/>
                <w:color w:val="000000"/>
              </w:rPr>
              <w:t>n line</w:t>
            </w:r>
            <w:r w:rsidR="008A0311" w:rsidRPr="008A0311">
              <w:rPr>
                <w:rFonts w:eastAsia="Times New Roman" w:cs="Calibri"/>
                <w:color w:val="000000"/>
              </w:rPr>
              <w:t xml:space="preserve"> transactions</w:t>
            </w:r>
          </w:p>
        </w:tc>
        <w:tc>
          <w:tcPr>
            <w:tcW w:w="3870" w:type="dxa"/>
            <w:tcBorders>
              <w:top w:val="nil"/>
              <w:left w:val="nil"/>
              <w:bottom w:val="single" w:sz="4" w:space="0" w:color="auto"/>
              <w:right w:val="single" w:sz="4" w:space="0" w:color="auto"/>
            </w:tcBorders>
            <w:shd w:val="clear" w:color="auto" w:fill="auto"/>
            <w:hideMark/>
          </w:tcPr>
          <w:p w:rsidR="00B85AA4" w:rsidRDefault="00B85AA4" w:rsidP="00B85AA4">
            <w:pPr>
              <w:spacing w:after="0" w:line="240" w:lineRule="auto"/>
              <w:rPr>
                <w:rFonts w:eastAsia="Times New Roman" w:cs="Calibri"/>
                <w:color w:val="000000"/>
                <w:sz w:val="20"/>
                <w:szCs w:val="20"/>
              </w:rPr>
            </w:pPr>
            <w:r>
              <w:rPr>
                <w:rFonts w:eastAsia="Times New Roman" w:cs="Calibri"/>
                <w:color w:val="000000"/>
                <w:sz w:val="20"/>
                <w:szCs w:val="20"/>
              </w:rPr>
              <w:t>The following transactions are available on line:</w:t>
            </w:r>
          </w:p>
          <w:p w:rsidR="001A1A22" w:rsidRPr="00142587" w:rsidRDefault="001A1A22" w:rsidP="00B85AA4">
            <w:pPr>
              <w:spacing w:after="0" w:line="240" w:lineRule="auto"/>
              <w:rPr>
                <w:rFonts w:eastAsia="Times New Roman" w:cs="Calibri"/>
                <w:color w:val="000000"/>
                <w:sz w:val="16"/>
                <w:szCs w:val="16"/>
              </w:rPr>
            </w:pPr>
          </w:p>
          <w:p w:rsidR="001A1A22" w:rsidRPr="001A1A22" w:rsidRDefault="001A1A22" w:rsidP="001A1A22">
            <w:pPr>
              <w:spacing w:after="0" w:line="240" w:lineRule="auto"/>
              <w:rPr>
                <w:rFonts w:eastAsia="Times New Roman" w:cs="Calibri"/>
                <w:b/>
                <w:color w:val="000000"/>
                <w:sz w:val="20"/>
                <w:szCs w:val="20"/>
              </w:rPr>
            </w:pPr>
            <w:r w:rsidRPr="001A1A22">
              <w:rPr>
                <w:rFonts w:eastAsia="Times New Roman" w:cs="Calibri"/>
                <w:b/>
                <w:color w:val="000000"/>
                <w:sz w:val="20"/>
                <w:szCs w:val="20"/>
              </w:rPr>
              <w:t>Vehicle Attributes</w:t>
            </w:r>
          </w:p>
          <w:p w:rsidR="001A1A22" w:rsidRPr="001A1A22" w:rsidRDefault="001A1A22" w:rsidP="001A1A22">
            <w:pPr>
              <w:spacing w:after="0" w:line="240" w:lineRule="auto"/>
              <w:ind w:left="164"/>
              <w:rPr>
                <w:rFonts w:eastAsia="Times New Roman" w:cs="Calibri"/>
                <w:color w:val="000000"/>
                <w:sz w:val="18"/>
                <w:szCs w:val="18"/>
              </w:rPr>
            </w:pPr>
            <w:r>
              <w:rPr>
                <w:rFonts w:eastAsia="Times New Roman" w:cs="Calibri"/>
                <w:color w:val="000000"/>
                <w:sz w:val="20"/>
                <w:szCs w:val="20"/>
              </w:rPr>
              <w:t>•</w:t>
            </w:r>
            <w:r w:rsidRPr="001A1A22">
              <w:rPr>
                <w:rFonts w:eastAsia="Times New Roman" w:cs="Calibri"/>
                <w:color w:val="000000"/>
                <w:sz w:val="18"/>
                <w:szCs w:val="18"/>
              </w:rPr>
              <w:t>Axle Increase</w:t>
            </w:r>
          </w:p>
          <w:p w:rsidR="001A1A22" w:rsidRPr="001A1A22" w:rsidRDefault="001A1A22" w:rsidP="001A1A22">
            <w:pPr>
              <w:spacing w:after="0" w:line="240" w:lineRule="auto"/>
              <w:ind w:left="164"/>
              <w:rPr>
                <w:rFonts w:eastAsia="Times New Roman" w:cs="Calibri"/>
                <w:color w:val="000000"/>
                <w:sz w:val="18"/>
                <w:szCs w:val="18"/>
              </w:rPr>
            </w:pPr>
            <w:r>
              <w:rPr>
                <w:rFonts w:eastAsia="Times New Roman" w:cs="Calibri"/>
                <w:color w:val="000000"/>
                <w:sz w:val="18"/>
                <w:szCs w:val="18"/>
              </w:rPr>
              <w:t>•Seat Increase</w:t>
            </w:r>
          </w:p>
          <w:p w:rsidR="001A1A22" w:rsidRPr="001A1A22" w:rsidRDefault="001A1A22" w:rsidP="001A1A22">
            <w:pPr>
              <w:spacing w:after="0" w:line="240" w:lineRule="auto"/>
              <w:ind w:left="164"/>
              <w:rPr>
                <w:rFonts w:eastAsia="Times New Roman" w:cs="Calibri"/>
                <w:color w:val="000000"/>
                <w:sz w:val="18"/>
                <w:szCs w:val="18"/>
              </w:rPr>
            </w:pPr>
            <w:r>
              <w:rPr>
                <w:rFonts w:eastAsia="Times New Roman" w:cs="Calibri"/>
                <w:color w:val="000000"/>
                <w:sz w:val="18"/>
                <w:szCs w:val="18"/>
              </w:rPr>
              <w:t>•</w:t>
            </w:r>
            <w:r w:rsidRPr="001A1A22">
              <w:rPr>
                <w:rFonts w:eastAsia="Times New Roman" w:cs="Calibri"/>
                <w:color w:val="000000"/>
                <w:sz w:val="18"/>
                <w:szCs w:val="18"/>
              </w:rPr>
              <w:t>Unit Number Change</w:t>
            </w:r>
          </w:p>
          <w:p w:rsidR="001A1A22" w:rsidRPr="001A1A22" w:rsidRDefault="001A1A22" w:rsidP="001A1A22">
            <w:pPr>
              <w:spacing w:after="0" w:line="240" w:lineRule="auto"/>
              <w:ind w:left="164"/>
              <w:rPr>
                <w:rFonts w:eastAsia="Times New Roman" w:cs="Calibri"/>
                <w:color w:val="000000"/>
                <w:sz w:val="18"/>
                <w:szCs w:val="18"/>
              </w:rPr>
            </w:pPr>
            <w:r>
              <w:rPr>
                <w:rFonts w:eastAsia="Times New Roman" w:cs="Calibri"/>
                <w:color w:val="000000"/>
                <w:sz w:val="18"/>
                <w:szCs w:val="18"/>
              </w:rPr>
              <w:t>•</w:t>
            </w:r>
            <w:r w:rsidRPr="001A1A22">
              <w:rPr>
                <w:rFonts w:eastAsia="Times New Roman" w:cs="Calibri"/>
                <w:color w:val="000000"/>
                <w:sz w:val="18"/>
                <w:szCs w:val="18"/>
              </w:rPr>
              <w:t>Vehicle Make Change</w:t>
            </w:r>
          </w:p>
          <w:p w:rsidR="001A1A22" w:rsidRPr="001A1A22" w:rsidRDefault="001A1A22" w:rsidP="001A1A22">
            <w:pPr>
              <w:spacing w:after="0" w:line="240" w:lineRule="auto"/>
              <w:ind w:left="164"/>
              <w:rPr>
                <w:rFonts w:eastAsia="Times New Roman" w:cs="Calibri"/>
                <w:color w:val="000000"/>
                <w:sz w:val="18"/>
                <w:szCs w:val="18"/>
              </w:rPr>
            </w:pPr>
            <w:r>
              <w:rPr>
                <w:rFonts w:eastAsia="Times New Roman" w:cs="Calibri"/>
                <w:color w:val="000000"/>
                <w:sz w:val="18"/>
                <w:szCs w:val="18"/>
              </w:rPr>
              <w:t>•</w:t>
            </w:r>
            <w:r w:rsidRPr="001A1A22">
              <w:rPr>
                <w:rFonts w:eastAsia="Times New Roman" w:cs="Calibri"/>
                <w:color w:val="000000"/>
                <w:sz w:val="18"/>
                <w:szCs w:val="18"/>
              </w:rPr>
              <w:t>Unladen Weight Increase</w:t>
            </w:r>
          </w:p>
          <w:p w:rsidR="001A1A22" w:rsidRPr="001A1A22" w:rsidRDefault="001A1A22" w:rsidP="001A1A22">
            <w:pPr>
              <w:spacing w:after="0" w:line="240" w:lineRule="auto"/>
              <w:ind w:left="164"/>
              <w:rPr>
                <w:rFonts w:eastAsia="Times New Roman" w:cs="Calibri"/>
                <w:color w:val="000000"/>
                <w:sz w:val="18"/>
                <w:szCs w:val="18"/>
              </w:rPr>
            </w:pPr>
            <w:r>
              <w:rPr>
                <w:rFonts w:eastAsia="Times New Roman" w:cs="Calibri"/>
                <w:color w:val="000000"/>
                <w:sz w:val="18"/>
                <w:szCs w:val="18"/>
              </w:rPr>
              <w:t>•</w:t>
            </w:r>
            <w:r w:rsidRPr="001A1A22">
              <w:rPr>
                <w:rFonts w:eastAsia="Times New Roman" w:cs="Calibri"/>
                <w:color w:val="000000"/>
                <w:sz w:val="18"/>
                <w:szCs w:val="18"/>
              </w:rPr>
              <w:t>Gross Wt. &amp; CGW Increase</w:t>
            </w:r>
          </w:p>
          <w:p w:rsidR="001A1A22" w:rsidRPr="001A1A22" w:rsidRDefault="001A1A22" w:rsidP="001A1A22">
            <w:pPr>
              <w:spacing w:after="0" w:line="240" w:lineRule="auto"/>
              <w:ind w:left="164"/>
              <w:rPr>
                <w:rFonts w:eastAsia="Times New Roman" w:cs="Calibri"/>
                <w:color w:val="000000"/>
                <w:sz w:val="18"/>
                <w:szCs w:val="18"/>
              </w:rPr>
            </w:pPr>
            <w:r>
              <w:rPr>
                <w:rFonts w:eastAsia="Times New Roman" w:cs="Calibri"/>
                <w:color w:val="000000"/>
                <w:sz w:val="18"/>
                <w:szCs w:val="18"/>
              </w:rPr>
              <w:t>•</w:t>
            </w:r>
            <w:r w:rsidRPr="001A1A22">
              <w:rPr>
                <w:rFonts w:eastAsia="Times New Roman" w:cs="Calibri"/>
                <w:color w:val="000000"/>
                <w:sz w:val="18"/>
                <w:szCs w:val="18"/>
              </w:rPr>
              <w:t>Owner Name/Motor Carrier Change</w:t>
            </w:r>
          </w:p>
          <w:p w:rsidR="001A1A22" w:rsidRPr="001A1A22" w:rsidRDefault="001A1A22" w:rsidP="001A1A22">
            <w:pPr>
              <w:spacing w:after="0" w:line="240" w:lineRule="auto"/>
              <w:ind w:left="164"/>
              <w:rPr>
                <w:rFonts w:eastAsia="Times New Roman" w:cs="Calibri"/>
                <w:color w:val="000000"/>
                <w:sz w:val="20"/>
                <w:szCs w:val="20"/>
              </w:rPr>
            </w:pPr>
            <w:r w:rsidRPr="001A1A22">
              <w:rPr>
                <w:rFonts w:eastAsia="Times New Roman" w:cs="Calibri"/>
                <w:b/>
                <w:color w:val="000000"/>
                <w:sz w:val="20"/>
                <w:szCs w:val="20"/>
              </w:rPr>
              <w:t>Vehicle</w:t>
            </w:r>
          </w:p>
          <w:p w:rsidR="001A1A22" w:rsidRPr="001A1A22" w:rsidRDefault="001A1A22" w:rsidP="001A1A22">
            <w:pPr>
              <w:spacing w:after="0" w:line="240" w:lineRule="auto"/>
              <w:ind w:left="164"/>
              <w:rPr>
                <w:rFonts w:eastAsia="Times New Roman" w:cs="Calibri"/>
                <w:color w:val="000000"/>
                <w:sz w:val="20"/>
                <w:szCs w:val="20"/>
              </w:rPr>
            </w:pPr>
            <w:r>
              <w:rPr>
                <w:rFonts w:eastAsia="Times New Roman" w:cs="Calibri"/>
                <w:color w:val="000000"/>
                <w:sz w:val="20"/>
                <w:szCs w:val="20"/>
              </w:rPr>
              <w:t>•</w:t>
            </w:r>
            <w:r w:rsidRPr="001A1A22">
              <w:rPr>
                <w:rFonts w:eastAsia="Times New Roman" w:cs="Calibri"/>
                <w:color w:val="000000"/>
                <w:sz w:val="20"/>
                <w:szCs w:val="20"/>
              </w:rPr>
              <w:t>Add Vehicle</w:t>
            </w:r>
          </w:p>
          <w:p w:rsidR="001A1A22" w:rsidRPr="001A1A22" w:rsidRDefault="001A1A22" w:rsidP="001A1A22">
            <w:pPr>
              <w:spacing w:after="0" w:line="240" w:lineRule="auto"/>
              <w:ind w:left="164"/>
              <w:rPr>
                <w:rFonts w:eastAsia="Times New Roman" w:cs="Calibri"/>
                <w:color w:val="000000"/>
                <w:sz w:val="20"/>
                <w:szCs w:val="20"/>
              </w:rPr>
            </w:pPr>
            <w:r>
              <w:rPr>
                <w:rFonts w:eastAsia="Times New Roman" w:cs="Calibri"/>
                <w:color w:val="000000"/>
                <w:sz w:val="20"/>
                <w:szCs w:val="20"/>
              </w:rPr>
              <w:t>•</w:t>
            </w:r>
            <w:r w:rsidRPr="001A1A22">
              <w:rPr>
                <w:rFonts w:eastAsia="Times New Roman" w:cs="Calibri"/>
                <w:color w:val="000000"/>
                <w:sz w:val="20"/>
                <w:szCs w:val="20"/>
              </w:rPr>
              <w:t>Delete Vehicle</w:t>
            </w:r>
          </w:p>
          <w:p w:rsidR="001A1A22" w:rsidRPr="001A1A22" w:rsidRDefault="001A1A22" w:rsidP="001A1A22">
            <w:pPr>
              <w:spacing w:after="0" w:line="240" w:lineRule="auto"/>
              <w:ind w:left="164"/>
              <w:rPr>
                <w:rFonts w:eastAsia="Times New Roman" w:cs="Calibri"/>
                <w:b/>
                <w:color w:val="000000"/>
                <w:sz w:val="20"/>
                <w:szCs w:val="20"/>
              </w:rPr>
            </w:pPr>
            <w:r w:rsidRPr="001A1A22">
              <w:rPr>
                <w:rFonts w:eastAsia="Times New Roman" w:cs="Calibri"/>
                <w:b/>
                <w:color w:val="000000"/>
                <w:sz w:val="20"/>
                <w:szCs w:val="20"/>
              </w:rPr>
              <w:t>Plate</w:t>
            </w:r>
          </w:p>
          <w:p w:rsidR="001A1A22" w:rsidRPr="001A1A22" w:rsidRDefault="001A1A22" w:rsidP="001A1A22">
            <w:pPr>
              <w:spacing w:after="0" w:line="240" w:lineRule="auto"/>
              <w:ind w:left="164"/>
              <w:rPr>
                <w:rFonts w:eastAsia="Times New Roman" w:cs="Calibri"/>
                <w:color w:val="000000"/>
                <w:sz w:val="20"/>
                <w:szCs w:val="20"/>
              </w:rPr>
            </w:pPr>
            <w:r>
              <w:rPr>
                <w:rFonts w:eastAsia="Times New Roman" w:cs="Calibri"/>
                <w:color w:val="000000"/>
                <w:sz w:val="20"/>
                <w:szCs w:val="20"/>
              </w:rPr>
              <w:t>•</w:t>
            </w:r>
            <w:r w:rsidRPr="001A1A22">
              <w:rPr>
                <w:rFonts w:eastAsia="Times New Roman" w:cs="Calibri"/>
                <w:color w:val="000000"/>
                <w:sz w:val="20"/>
                <w:szCs w:val="20"/>
              </w:rPr>
              <w:t>Plate Transfer</w:t>
            </w:r>
          </w:p>
          <w:p w:rsidR="001A1A22" w:rsidRPr="001A1A22" w:rsidRDefault="001A1A22" w:rsidP="001A1A22">
            <w:pPr>
              <w:spacing w:after="0" w:line="240" w:lineRule="auto"/>
              <w:ind w:left="164"/>
              <w:rPr>
                <w:rFonts w:eastAsia="Times New Roman" w:cs="Calibri"/>
                <w:color w:val="000000"/>
                <w:sz w:val="20"/>
                <w:szCs w:val="20"/>
              </w:rPr>
            </w:pPr>
            <w:r>
              <w:rPr>
                <w:rFonts w:eastAsia="Times New Roman" w:cs="Calibri"/>
                <w:color w:val="000000"/>
                <w:sz w:val="20"/>
                <w:szCs w:val="20"/>
              </w:rPr>
              <w:t>•</w:t>
            </w:r>
            <w:r w:rsidRPr="001A1A22">
              <w:rPr>
                <w:rFonts w:eastAsia="Times New Roman" w:cs="Calibri"/>
                <w:color w:val="000000"/>
                <w:sz w:val="20"/>
                <w:szCs w:val="20"/>
              </w:rPr>
              <w:t>Replacement Plate</w:t>
            </w:r>
          </w:p>
          <w:p w:rsidR="001A1A22" w:rsidRPr="00142587" w:rsidRDefault="001A1A22" w:rsidP="001A1A22">
            <w:pPr>
              <w:spacing w:after="0" w:line="240" w:lineRule="auto"/>
              <w:rPr>
                <w:rFonts w:eastAsia="Times New Roman" w:cs="Calibri"/>
                <w:color w:val="000000"/>
                <w:sz w:val="16"/>
                <w:szCs w:val="16"/>
              </w:rPr>
            </w:pPr>
          </w:p>
          <w:p w:rsidR="001A1A22" w:rsidRPr="001A1A22" w:rsidRDefault="001A1A22" w:rsidP="001A1A22">
            <w:pPr>
              <w:spacing w:after="0" w:line="240" w:lineRule="auto"/>
              <w:ind w:left="164" w:hanging="164"/>
              <w:rPr>
                <w:rFonts w:eastAsia="Times New Roman" w:cs="Calibri"/>
                <w:b/>
                <w:color w:val="000000"/>
                <w:sz w:val="20"/>
                <w:szCs w:val="20"/>
              </w:rPr>
            </w:pPr>
            <w:r w:rsidRPr="001A1A22">
              <w:rPr>
                <w:rFonts w:eastAsia="Times New Roman" w:cs="Calibri"/>
                <w:b/>
                <w:color w:val="000000"/>
                <w:sz w:val="20"/>
                <w:szCs w:val="20"/>
              </w:rPr>
              <w:t>Multi Transaction</w:t>
            </w:r>
            <w:r>
              <w:rPr>
                <w:rFonts w:eastAsia="Times New Roman" w:cs="Calibri"/>
                <w:b/>
                <w:color w:val="000000"/>
                <w:sz w:val="20"/>
                <w:szCs w:val="20"/>
              </w:rPr>
              <w:t xml:space="preserve"> (for qualified accounts)</w:t>
            </w:r>
          </w:p>
          <w:p w:rsidR="001A1A22" w:rsidRPr="001A1A22" w:rsidRDefault="001A1A22" w:rsidP="001A1A22">
            <w:pPr>
              <w:spacing w:after="0" w:line="240" w:lineRule="auto"/>
              <w:ind w:left="164"/>
              <w:rPr>
                <w:rFonts w:eastAsia="Times New Roman" w:cs="Calibri"/>
                <w:color w:val="000000"/>
                <w:sz w:val="20"/>
                <w:szCs w:val="20"/>
              </w:rPr>
            </w:pPr>
            <w:r>
              <w:rPr>
                <w:rFonts w:eastAsia="Times New Roman" w:cs="Calibri"/>
                <w:color w:val="000000"/>
                <w:sz w:val="20"/>
                <w:szCs w:val="20"/>
              </w:rPr>
              <w:t>•</w:t>
            </w:r>
            <w:r w:rsidRPr="001A1A22">
              <w:rPr>
                <w:rFonts w:eastAsia="Times New Roman" w:cs="Calibri"/>
                <w:color w:val="000000"/>
                <w:sz w:val="20"/>
                <w:szCs w:val="20"/>
              </w:rPr>
              <w:t>Wt. Change &amp; Transfer</w:t>
            </w:r>
          </w:p>
          <w:p w:rsidR="001A1A22" w:rsidRPr="001A1A22" w:rsidRDefault="001A1A22" w:rsidP="001A1A22">
            <w:pPr>
              <w:spacing w:after="0" w:line="240" w:lineRule="auto"/>
              <w:ind w:left="164"/>
              <w:rPr>
                <w:rFonts w:eastAsia="Times New Roman" w:cs="Calibri"/>
                <w:color w:val="000000"/>
                <w:sz w:val="20"/>
                <w:szCs w:val="20"/>
              </w:rPr>
            </w:pPr>
            <w:r>
              <w:rPr>
                <w:rFonts w:eastAsia="Times New Roman" w:cs="Calibri"/>
                <w:color w:val="000000"/>
                <w:sz w:val="20"/>
                <w:szCs w:val="20"/>
              </w:rPr>
              <w:t>•</w:t>
            </w:r>
            <w:r w:rsidRPr="001A1A22">
              <w:rPr>
                <w:rFonts w:eastAsia="Times New Roman" w:cs="Calibri"/>
                <w:color w:val="000000"/>
                <w:sz w:val="20"/>
                <w:szCs w:val="20"/>
              </w:rPr>
              <w:t>Transfer &amp; Replacement Plate</w:t>
            </w:r>
          </w:p>
          <w:p w:rsidR="008A0311" w:rsidRPr="008A0311" w:rsidRDefault="001A1A22" w:rsidP="001A1A22">
            <w:pPr>
              <w:spacing w:after="0" w:line="240" w:lineRule="auto"/>
              <w:ind w:left="164"/>
              <w:rPr>
                <w:rFonts w:eastAsia="Times New Roman" w:cs="Calibri"/>
                <w:color w:val="000000"/>
                <w:sz w:val="20"/>
                <w:szCs w:val="20"/>
              </w:rPr>
            </w:pPr>
            <w:r>
              <w:rPr>
                <w:rFonts w:eastAsia="Times New Roman" w:cs="Calibri"/>
                <w:color w:val="000000"/>
                <w:sz w:val="20"/>
                <w:szCs w:val="20"/>
              </w:rPr>
              <w:t>•</w:t>
            </w:r>
            <w:r w:rsidRPr="001A1A22">
              <w:rPr>
                <w:rFonts w:eastAsia="Times New Roman" w:cs="Calibri"/>
                <w:color w:val="000000"/>
                <w:sz w:val="20"/>
                <w:szCs w:val="20"/>
              </w:rPr>
              <w:t>Wt. Change, Transfer &amp; Replacement Plate</w:t>
            </w:r>
          </w:p>
        </w:tc>
        <w:tc>
          <w:tcPr>
            <w:tcW w:w="3798" w:type="dxa"/>
            <w:tcBorders>
              <w:top w:val="nil"/>
              <w:left w:val="nil"/>
              <w:bottom w:val="single" w:sz="4" w:space="0" w:color="auto"/>
              <w:right w:val="single" w:sz="4" w:space="0" w:color="auto"/>
            </w:tcBorders>
            <w:shd w:val="clear" w:color="auto" w:fill="auto"/>
            <w:hideMark/>
          </w:tcPr>
          <w:p w:rsidR="00A34BEC" w:rsidRDefault="00602767" w:rsidP="00EB79F6">
            <w:pPr>
              <w:spacing w:after="0" w:line="240" w:lineRule="auto"/>
              <w:rPr>
                <w:rFonts w:eastAsia="Times New Roman" w:cs="Calibri"/>
                <w:color w:val="000000"/>
                <w:sz w:val="20"/>
                <w:szCs w:val="20"/>
              </w:rPr>
            </w:pPr>
            <w:r>
              <w:rPr>
                <w:rFonts w:eastAsia="Times New Roman" w:cs="Calibri"/>
                <w:color w:val="000000"/>
                <w:sz w:val="20"/>
                <w:szCs w:val="20"/>
              </w:rPr>
              <w:t>Two</w:t>
            </w:r>
            <w:r w:rsidR="001A1A22">
              <w:rPr>
                <w:rFonts w:eastAsia="Times New Roman" w:cs="Calibri"/>
                <w:color w:val="000000"/>
                <w:sz w:val="20"/>
                <w:szCs w:val="20"/>
              </w:rPr>
              <w:t xml:space="preserve"> </w:t>
            </w:r>
            <w:r w:rsidR="00A34BEC">
              <w:rPr>
                <w:rFonts w:eastAsia="Times New Roman" w:cs="Calibri"/>
                <w:color w:val="000000"/>
                <w:sz w:val="20"/>
                <w:szCs w:val="20"/>
              </w:rPr>
              <w:t>N</w:t>
            </w:r>
            <w:r w:rsidR="00B85AA4">
              <w:rPr>
                <w:rFonts w:eastAsia="Times New Roman" w:cs="Calibri"/>
                <w:color w:val="000000"/>
                <w:sz w:val="20"/>
                <w:szCs w:val="20"/>
              </w:rPr>
              <w:t>ew Transaction</w:t>
            </w:r>
            <w:r w:rsidR="001A1A22">
              <w:rPr>
                <w:rFonts w:eastAsia="Times New Roman" w:cs="Calibri"/>
                <w:color w:val="000000"/>
                <w:sz w:val="20"/>
                <w:szCs w:val="20"/>
              </w:rPr>
              <w:t xml:space="preserve"> ha</w:t>
            </w:r>
            <w:r>
              <w:rPr>
                <w:rFonts w:eastAsia="Times New Roman" w:cs="Calibri"/>
                <w:color w:val="000000"/>
                <w:sz w:val="20"/>
                <w:szCs w:val="20"/>
              </w:rPr>
              <w:t>ve</w:t>
            </w:r>
            <w:r w:rsidR="001A1A22">
              <w:rPr>
                <w:rFonts w:eastAsia="Times New Roman" w:cs="Calibri"/>
                <w:color w:val="000000"/>
                <w:sz w:val="20"/>
                <w:szCs w:val="20"/>
              </w:rPr>
              <w:t xml:space="preserve"> been added</w:t>
            </w:r>
            <w:r w:rsidR="00004347">
              <w:rPr>
                <w:rFonts w:eastAsia="Times New Roman" w:cs="Calibri"/>
                <w:color w:val="000000"/>
                <w:sz w:val="20"/>
                <w:szCs w:val="20"/>
              </w:rPr>
              <w:t>:</w:t>
            </w:r>
          </w:p>
          <w:p w:rsidR="00A34BEC" w:rsidRDefault="00A34BEC" w:rsidP="00EB79F6">
            <w:pPr>
              <w:spacing w:after="0" w:line="240" w:lineRule="auto"/>
              <w:rPr>
                <w:rFonts w:eastAsia="Times New Roman" w:cs="Calibri"/>
                <w:color w:val="000000"/>
                <w:sz w:val="20"/>
                <w:szCs w:val="20"/>
              </w:rPr>
            </w:pPr>
          </w:p>
          <w:p w:rsidR="001A1A22" w:rsidRDefault="001A1A22" w:rsidP="001A1A22">
            <w:pPr>
              <w:spacing w:after="0" w:line="240" w:lineRule="auto"/>
              <w:ind w:left="164"/>
              <w:rPr>
                <w:rFonts w:eastAsia="Times New Roman" w:cs="Calibri"/>
                <w:color w:val="000000"/>
                <w:sz w:val="18"/>
                <w:szCs w:val="18"/>
              </w:rPr>
            </w:pPr>
            <w:r>
              <w:rPr>
                <w:rFonts w:eastAsia="Times New Roman" w:cs="Calibri"/>
                <w:color w:val="000000"/>
                <w:sz w:val="20"/>
                <w:szCs w:val="20"/>
              </w:rPr>
              <w:t>•</w:t>
            </w:r>
            <w:r>
              <w:rPr>
                <w:rFonts w:eastAsia="Times New Roman" w:cs="Calibri"/>
                <w:color w:val="000000"/>
                <w:sz w:val="18"/>
                <w:szCs w:val="18"/>
              </w:rPr>
              <w:t>Weight Decrease</w:t>
            </w:r>
          </w:p>
          <w:p w:rsidR="00602767" w:rsidRDefault="00602767" w:rsidP="00602767">
            <w:pPr>
              <w:spacing w:after="0" w:line="240" w:lineRule="auto"/>
              <w:ind w:left="164"/>
              <w:rPr>
                <w:rFonts w:eastAsia="Times New Roman" w:cs="Calibri"/>
                <w:color w:val="000000"/>
                <w:sz w:val="20"/>
                <w:szCs w:val="20"/>
              </w:rPr>
            </w:pPr>
            <w:r>
              <w:rPr>
                <w:rFonts w:eastAsia="Times New Roman" w:cs="Calibri"/>
                <w:color w:val="000000"/>
                <w:sz w:val="20"/>
                <w:szCs w:val="20"/>
              </w:rPr>
              <w:t>•</w:t>
            </w:r>
            <w:r w:rsidRPr="001A1A22">
              <w:rPr>
                <w:rFonts w:eastAsia="Times New Roman" w:cs="Calibri"/>
                <w:color w:val="000000"/>
                <w:sz w:val="20"/>
                <w:szCs w:val="20"/>
              </w:rPr>
              <w:t xml:space="preserve">Mailing Address &amp; </w:t>
            </w:r>
            <w:r w:rsidRPr="00142587">
              <w:rPr>
                <w:rFonts w:eastAsia="Times New Roman" w:cs="Calibri"/>
                <w:color w:val="000000"/>
                <w:sz w:val="20"/>
                <w:szCs w:val="20"/>
                <w:u w:val="single"/>
              </w:rPr>
              <w:t>Contact Change</w:t>
            </w:r>
          </w:p>
          <w:p w:rsidR="00602767" w:rsidRPr="001A1A22" w:rsidRDefault="00602767" w:rsidP="001A1A22">
            <w:pPr>
              <w:spacing w:after="0" w:line="240" w:lineRule="auto"/>
              <w:ind w:left="164"/>
              <w:rPr>
                <w:rFonts w:eastAsia="Times New Roman" w:cs="Calibri"/>
                <w:color w:val="000000"/>
                <w:sz w:val="18"/>
                <w:szCs w:val="18"/>
              </w:rPr>
            </w:pPr>
          </w:p>
          <w:p w:rsidR="008A0311" w:rsidRPr="001A1A22" w:rsidRDefault="008A0311" w:rsidP="001A1A22">
            <w:pPr>
              <w:pStyle w:val="ListParagraph"/>
              <w:spacing w:after="0" w:line="240" w:lineRule="auto"/>
              <w:ind w:left="522"/>
              <w:rPr>
                <w:rFonts w:eastAsia="Times New Roman" w:cs="Calibri"/>
                <w:color w:val="000000"/>
                <w:sz w:val="20"/>
                <w:szCs w:val="20"/>
              </w:rPr>
            </w:pPr>
          </w:p>
        </w:tc>
      </w:tr>
      <w:tr w:rsidR="008A0311" w:rsidRPr="008A0311" w:rsidTr="00AC1F3B">
        <w:trPr>
          <w:trHeight w:val="2384"/>
        </w:trPr>
        <w:tc>
          <w:tcPr>
            <w:tcW w:w="2340" w:type="dxa"/>
            <w:tcBorders>
              <w:top w:val="nil"/>
              <w:left w:val="single" w:sz="4" w:space="0" w:color="auto"/>
              <w:bottom w:val="single" w:sz="4" w:space="0" w:color="auto"/>
              <w:right w:val="single" w:sz="4" w:space="0" w:color="auto"/>
            </w:tcBorders>
            <w:shd w:val="clear" w:color="auto" w:fill="auto"/>
            <w:noWrap/>
            <w:hideMark/>
          </w:tcPr>
          <w:p w:rsidR="008A0311" w:rsidRPr="008A0311" w:rsidRDefault="00B85AA4" w:rsidP="008A0311">
            <w:pPr>
              <w:spacing w:after="0" w:line="240" w:lineRule="auto"/>
              <w:rPr>
                <w:rFonts w:eastAsia="Times New Roman" w:cs="Calibri"/>
                <w:color w:val="000000"/>
              </w:rPr>
            </w:pPr>
            <w:r>
              <w:rPr>
                <w:rFonts w:eastAsia="Times New Roman" w:cs="Calibri"/>
                <w:color w:val="000000"/>
              </w:rPr>
              <w:t>3. Upload t</w:t>
            </w:r>
            <w:r w:rsidR="008A0311" w:rsidRPr="008A0311">
              <w:rPr>
                <w:rFonts w:eastAsia="Times New Roman" w:cs="Calibri"/>
                <w:color w:val="000000"/>
              </w:rPr>
              <w:t>ransaction error reporting</w:t>
            </w:r>
          </w:p>
        </w:tc>
        <w:tc>
          <w:tcPr>
            <w:tcW w:w="3870" w:type="dxa"/>
            <w:tcBorders>
              <w:top w:val="nil"/>
              <w:left w:val="nil"/>
              <w:bottom w:val="single" w:sz="4" w:space="0" w:color="auto"/>
              <w:right w:val="single" w:sz="4" w:space="0" w:color="auto"/>
            </w:tcBorders>
            <w:shd w:val="clear" w:color="auto" w:fill="auto"/>
            <w:hideMark/>
          </w:tcPr>
          <w:p w:rsidR="008A0311" w:rsidRPr="008A0311" w:rsidRDefault="008A0311" w:rsidP="008A0311">
            <w:pPr>
              <w:spacing w:after="0" w:line="240" w:lineRule="auto"/>
              <w:rPr>
                <w:rFonts w:eastAsia="Times New Roman" w:cs="Calibri"/>
                <w:color w:val="000000"/>
                <w:sz w:val="20"/>
                <w:szCs w:val="20"/>
              </w:rPr>
            </w:pPr>
            <w:r w:rsidRPr="008A0311">
              <w:rPr>
                <w:rFonts w:eastAsia="Times New Roman" w:cs="Calibri"/>
                <w:color w:val="000000"/>
                <w:sz w:val="20"/>
                <w:szCs w:val="20"/>
              </w:rPr>
              <w:t>The upload spreadsheets contain numerous Excel "macros" that edit for errors such as duplicate VIN, invalid plate, etc.</w:t>
            </w:r>
          </w:p>
        </w:tc>
        <w:tc>
          <w:tcPr>
            <w:tcW w:w="3798" w:type="dxa"/>
            <w:tcBorders>
              <w:top w:val="nil"/>
              <w:left w:val="nil"/>
              <w:bottom w:val="single" w:sz="4" w:space="0" w:color="auto"/>
              <w:right w:val="single" w:sz="4" w:space="0" w:color="auto"/>
            </w:tcBorders>
            <w:shd w:val="clear" w:color="auto" w:fill="auto"/>
            <w:hideMark/>
          </w:tcPr>
          <w:p w:rsidR="008A0311" w:rsidRPr="00142587" w:rsidRDefault="00B85AA4" w:rsidP="008A0311">
            <w:pPr>
              <w:spacing w:after="0" w:line="240" w:lineRule="auto"/>
              <w:rPr>
                <w:rFonts w:cs="Calibri"/>
                <w:color w:val="000000"/>
                <w:sz w:val="20"/>
                <w:szCs w:val="20"/>
              </w:rPr>
            </w:pPr>
            <w:r>
              <w:rPr>
                <w:rFonts w:cs="Calibri"/>
                <w:color w:val="000000"/>
                <w:sz w:val="20"/>
                <w:szCs w:val="20"/>
              </w:rPr>
              <w:t xml:space="preserve">The transaction </w:t>
            </w:r>
            <w:r w:rsidR="00E03E1E">
              <w:rPr>
                <w:rFonts w:cs="Calibri"/>
                <w:color w:val="000000"/>
                <w:sz w:val="20"/>
                <w:szCs w:val="20"/>
              </w:rPr>
              <w:t>spreadsheet</w:t>
            </w:r>
            <w:r>
              <w:rPr>
                <w:rFonts w:cs="Calibri"/>
                <w:color w:val="000000"/>
                <w:sz w:val="20"/>
                <w:szCs w:val="20"/>
              </w:rPr>
              <w:t>s contain</w:t>
            </w:r>
            <w:r w:rsidR="00E03E1E">
              <w:rPr>
                <w:rFonts w:cs="Calibri"/>
                <w:color w:val="000000"/>
                <w:sz w:val="20"/>
                <w:szCs w:val="20"/>
              </w:rPr>
              <w:t xml:space="preserve"> no macro code - all data edits are performed in the IRP application after the user uploads the renewal file. An exception report will be created if there are any errors in the upload file data. User will be shown the report and they will be able to download it. This will have the details of errors at vehicle record level. User can correct the errors and upload the file again. </w:t>
            </w:r>
          </w:p>
        </w:tc>
      </w:tr>
      <w:tr w:rsidR="008A0311" w:rsidRPr="008A0311" w:rsidTr="00AC1F3B">
        <w:trPr>
          <w:trHeight w:val="773"/>
        </w:trPr>
        <w:tc>
          <w:tcPr>
            <w:tcW w:w="2340" w:type="dxa"/>
            <w:tcBorders>
              <w:top w:val="nil"/>
              <w:left w:val="single" w:sz="4" w:space="0" w:color="auto"/>
              <w:bottom w:val="single" w:sz="4" w:space="0" w:color="auto"/>
              <w:right w:val="single" w:sz="4" w:space="0" w:color="auto"/>
            </w:tcBorders>
            <w:shd w:val="clear" w:color="auto" w:fill="auto"/>
            <w:noWrap/>
            <w:hideMark/>
          </w:tcPr>
          <w:p w:rsidR="008A0311" w:rsidRPr="008A0311" w:rsidRDefault="008A0311" w:rsidP="008A0311">
            <w:pPr>
              <w:spacing w:after="0" w:line="240" w:lineRule="auto"/>
              <w:rPr>
                <w:rFonts w:eastAsia="Times New Roman" w:cs="Calibri"/>
                <w:color w:val="000000"/>
              </w:rPr>
            </w:pPr>
            <w:r w:rsidRPr="008A0311">
              <w:rPr>
                <w:rFonts w:eastAsia="Times New Roman" w:cs="Calibri"/>
                <w:color w:val="000000"/>
              </w:rPr>
              <w:t>4. Submitting transaction uploads</w:t>
            </w:r>
          </w:p>
        </w:tc>
        <w:tc>
          <w:tcPr>
            <w:tcW w:w="3870" w:type="dxa"/>
            <w:tcBorders>
              <w:top w:val="nil"/>
              <w:left w:val="nil"/>
              <w:bottom w:val="single" w:sz="4" w:space="0" w:color="auto"/>
              <w:right w:val="single" w:sz="4" w:space="0" w:color="auto"/>
            </w:tcBorders>
            <w:shd w:val="clear" w:color="auto" w:fill="auto"/>
            <w:hideMark/>
          </w:tcPr>
          <w:p w:rsidR="008A0311" w:rsidRPr="008A0311" w:rsidRDefault="00B85AA4" w:rsidP="008A0311">
            <w:pPr>
              <w:spacing w:after="0" w:line="240" w:lineRule="auto"/>
              <w:rPr>
                <w:rFonts w:eastAsia="Times New Roman" w:cs="Calibri"/>
                <w:color w:val="000000"/>
                <w:sz w:val="20"/>
                <w:szCs w:val="20"/>
              </w:rPr>
            </w:pPr>
            <w:r>
              <w:rPr>
                <w:rFonts w:eastAsia="Times New Roman" w:cs="Calibri"/>
                <w:color w:val="000000"/>
                <w:sz w:val="20"/>
                <w:szCs w:val="20"/>
              </w:rPr>
              <w:t>Transaction</w:t>
            </w:r>
            <w:r w:rsidR="008A0311" w:rsidRPr="008A0311">
              <w:rPr>
                <w:rFonts w:eastAsia="Times New Roman" w:cs="Calibri"/>
                <w:color w:val="000000"/>
                <w:sz w:val="20"/>
                <w:szCs w:val="20"/>
              </w:rPr>
              <w:t xml:space="preserve"> files are converted from an "XLS" format to a comma delimited ("QCE") file for uploading.</w:t>
            </w:r>
          </w:p>
        </w:tc>
        <w:tc>
          <w:tcPr>
            <w:tcW w:w="3798" w:type="dxa"/>
            <w:tcBorders>
              <w:top w:val="nil"/>
              <w:left w:val="nil"/>
              <w:bottom w:val="single" w:sz="4" w:space="0" w:color="auto"/>
              <w:right w:val="single" w:sz="4" w:space="0" w:color="auto"/>
            </w:tcBorders>
            <w:shd w:val="clear" w:color="auto" w:fill="auto"/>
            <w:hideMark/>
          </w:tcPr>
          <w:p w:rsidR="008A0311" w:rsidRPr="00142587" w:rsidRDefault="00E03E1E" w:rsidP="008A0311">
            <w:pPr>
              <w:spacing w:after="0" w:line="240" w:lineRule="auto"/>
              <w:rPr>
                <w:rFonts w:cs="Calibri"/>
                <w:color w:val="000000"/>
                <w:sz w:val="20"/>
                <w:szCs w:val="20"/>
              </w:rPr>
            </w:pPr>
            <w:r>
              <w:rPr>
                <w:rFonts w:cs="Calibri"/>
                <w:color w:val="000000"/>
                <w:sz w:val="20"/>
                <w:szCs w:val="20"/>
              </w:rPr>
              <w:t xml:space="preserve">The </w:t>
            </w:r>
            <w:r w:rsidR="00B85AA4">
              <w:rPr>
                <w:rFonts w:cs="Calibri"/>
                <w:color w:val="000000"/>
                <w:sz w:val="20"/>
                <w:szCs w:val="20"/>
              </w:rPr>
              <w:t>transaction</w:t>
            </w:r>
            <w:r>
              <w:rPr>
                <w:rFonts w:cs="Calibri"/>
                <w:color w:val="000000"/>
                <w:sz w:val="20"/>
                <w:szCs w:val="20"/>
              </w:rPr>
              <w:t xml:space="preserve"> spreadsheet will be uploaded in the original Excel format directly by the user to the IRP Application.</w:t>
            </w:r>
          </w:p>
        </w:tc>
      </w:tr>
    </w:tbl>
    <w:p w:rsidR="00142587" w:rsidRDefault="00142587" w:rsidP="00B014FF"/>
    <w:sectPr w:rsidR="00142587" w:rsidSect="00B014FF">
      <w:footerReference w:type="default" r:id="rId8"/>
      <w:pgSz w:w="12240" w:h="15840"/>
      <w:pgMar w:top="1440" w:right="1440" w:bottom="720" w:left="1440" w:header="720" w:footer="720" w:gutter="14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A22" w:rsidRDefault="001A1A22" w:rsidP="001A1A22">
      <w:pPr>
        <w:spacing w:after="0" w:line="240" w:lineRule="auto"/>
      </w:pPr>
      <w:r>
        <w:separator/>
      </w:r>
    </w:p>
  </w:endnote>
  <w:endnote w:type="continuationSeparator" w:id="0">
    <w:p w:rsidR="001A1A22" w:rsidRDefault="001A1A22" w:rsidP="001A1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53C" w:rsidRDefault="00BB153C">
    <w:pPr>
      <w:pStyle w:val="Footer"/>
    </w:pPr>
    <w:r>
      <w:t>05/27/2020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A22" w:rsidRDefault="001A1A22" w:rsidP="001A1A22">
      <w:pPr>
        <w:spacing w:after="0" w:line="240" w:lineRule="auto"/>
      </w:pPr>
      <w:r>
        <w:separator/>
      </w:r>
    </w:p>
  </w:footnote>
  <w:footnote w:type="continuationSeparator" w:id="0">
    <w:p w:rsidR="001A1A22" w:rsidRDefault="001A1A22" w:rsidP="001A1A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204DFC"/>
    <w:multiLevelType w:val="hybridMultilevel"/>
    <w:tmpl w:val="E5D4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311"/>
    <w:rsid w:val="00004347"/>
    <w:rsid w:val="00074985"/>
    <w:rsid w:val="001032C9"/>
    <w:rsid w:val="00142587"/>
    <w:rsid w:val="001A1A22"/>
    <w:rsid w:val="002F1B6C"/>
    <w:rsid w:val="003D272E"/>
    <w:rsid w:val="004F2833"/>
    <w:rsid w:val="00602767"/>
    <w:rsid w:val="00660BA3"/>
    <w:rsid w:val="0074761C"/>
    <w:rsid w:val="008A0311"/>
    <w:rsid w:val="00A34BEC"/>
    <w:rsid w:val="00A54A37"/>
    <w:rsid w:val="00AC1F3B"/>
    <w:rsid w:val="00B014FF"/>
    <w:rsid w:val="00B275A4"/>
    <w:rsid w:val="00B85AA4"/>
    <w:rsid w:val="00BB153C"/>
    <w:rsid w:val="00D340E1"/>
    <w:rsid w:val="00E03E1E"/>
    <w:rsid w:val="00EB7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6A83F-7FFC-4866-8647-0BF80CA8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A0311"/>
    <w:rPr>
      <w:sz w:val="22"/>
      <w:szCs w:val="22"/>
    </w:rPr>
  </w:style>
  <w:style w:type="paragraph" w:styleId="BalloonText">
    <w:name w:val="Balloon Text"/>
    <w:basedOn w:val="Normal"/>
    <w:link w:val="BalloonTextChar"/>
    <w:uiPriority w:val="99"/>
    <w:semiHidden/>
    <w:unhideWhenUsed/>
    <w:rsid w:val="008A0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311"/>
    <w:rPr>
      <w:rFonts w:ascii="Segoe UI" w:hAnsi="Segoe UI" w:cs="Segoe UI"/>
      <w:sz w:val="18"/>
      <w:szCs w:val="18"/>
    </w:rPr>
  </w:style>
  <w:style w:type="paragraph" w:styleId="FootnoteText">
    <w:name w:val="footnote text"/>
    <w:basedOn w:val="Normal"/>
    <w:link w:val="FootnoteTextChar"/>
    <w:uiPriority w:val="99"/>
    <w:semiHidden/>
    <w:unhideWhenUsed/>
    <w:rsid w:val="001A1A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1A22"/>
  </w:style>
  <w:style w:type="character" w:styleId="FootnoteReference">
    <w:name w:val="footnote reference"/>
    <w:basedOn w:val="DefaultParagraphFont"/>
    <w:uiPriority w:val="99"/>
    <w:semiHidden/>
    <w:unhideWhenUsed/>
    <w:rsid w:val="001A1A22"/>
    <w:rPr>
      <w:vertAlign w:val="superscript"/>
    </w:rPr>
  </w:style>
  <w:style w:type="paragraph" w:styleId="ListParagraph">
    <w:name w:val="List Paragraph"/>
    <w:basedOn w:val="Normal"/>
    <w:uiPriority w:val="34"/>
    <w:qFormat/>
    <w:rsid w:val="001A1A22"/>
    <w:pPr>
      <w:ind w:left="720"/>
      <w:contextualSpacing/>
    </w:pPr>
  </w:style>
  <w:style w:type="paragraph" w:styleId="Header">
    <w:name w:val="header"/>
    <w:basedOn w:val="Normal"/>
    <w:link w:val="HeaderChar"/>
    <w:uiPriority w:val="99"/>
    <w:unhideWhenUsed/>
    <w:rsid w:val="00BB1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53C"/>
    <w:rPr>
      <w:sz w:val="22"/>
      <w:szCs w:val="22"/>
    </w:rPr>
  </w:style>
  <w:style w:type="paragraph" w:styleId="Footer">
    <w:name w:val="footer"/>
    <w:basedOn w:val="Normal"/>
    <w:link w:val="FooterChar"/>
    <w:uiPriority w:val="99"/>
    <w:unhideWhenUsed/>
    <w:rsid w:val="00BB1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53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93596">
      <w:bodyDiv w:val="1"/>
      <w:marLeft w:val="0"/>
      <w:marRight w:val="0"/>
      <w:marTop w:val="0"/>
      <w:marBottom w:val="0"/>
      <w:divBdr>
        <w:top w:val="none" w:sz="0" w:space="0" w:color="auto"/>
        <w:left w:val="none" w:sz="0" w:space="0" w:color="auto"/>
        <w:bottom w:val="none" w:sz="0" w:space="0" w:color="auto"/>
        <w:right w:val="none" w:sz="0" w:space="0" w:color="auto"/>
      </w:divBdr>
    </w:div>
    <w:div w:id="1184972737">
      <w:bodyDiv w:val="1"/>
      <w:marLeft w:val="0"/>
      <w:marRight w:val="0"/>
      <w:marTop w:val="0"/>
      <w:marBottom w:val="0"/>
      <w:divBdr>
        <w:top w:val="none" w:sz="0" w:space="0" w:color="auto"/>
        <w:left w:val="none" w:sz="0" w:space="0" w:color="auto"/>
        <w:bottom w:val="none" w:sz="0" w:space="0" w:color="auto"/>
        <w:right w:val="none" w:sz="0" w:space="0" w:color="auto"/>
      </w:divBdr>
    </w:div>
    <w:div w:id="162372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5CD25-C9DC-47C1-B694-257D0CDC5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Culbertson, William</dc:creator>
  <cp:keywords/>
  <dc:description/>
  <cp:lastModifiedBy>Culbertson, William</cp:lastModifiedBy>
  <cp:revision>2</cp:revision>
  <dcterms:created xsi:type="dcterms:W3CDTF">2020-05-28T12:47:00Z</dcterms:created>
  <dcterms:modified xsi:type="dcterms:W3CDTF">2020-05-28T12:47:00Z</dcterms:modified>
</cp:coreProperties>
</file>